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C3C" w:rsidRPr="00393C3C" w:rsidRDefault="00393C3C" w:rsidP="00393C3C">
      <w:pPr>
        <w:pStyle w:val="Heading1"/>
        <w:rPr>
          <w:color w:val="ED7307" w:themeColor="accent6"/>
          <w:sz w:val="28"/>
        </w:rPr>
      </w:pPr>
      <w:r w:rsidRPr="00393C3C">
        <w:rPr>
          <w:color w:val="ED7307" w:themeColor="accent6"/>
          <w:sz w:val="28"/>
        </w:rPr>
        <w:t>Chapter 8: Psychosocial, Gender, and Cultural Influences on Pharmacotherapy</w:t>
      </w:r>
    </w:p>
    <w:p w:rsidR="00393C3C" w:rsidRDefault="00393C3C" w:rsidP="00393C3C">
      <w:pPr>
        <w:pStyle w:val="Heading3"/>
        <w:rPr>
          <w:sz w:val="26"/>
          <w:szCs w:val="26"/>
        </w:rPr>
      </w:pPr>
      <w:r>
        <w:t>Learning Outcomes</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Describe fundamental concepts underlying a holistic approach to patient care and their importance to pharmacotherapy.</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Describe the components of the human integration pyramid model.</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 xml:space="preserve">Identify psychosocial and spiritual factors that can affect </w:t>
      </w:r>
      <w:proofErr w:type="spellStart"/>
      <w:r w:rsidRPr="00393C3C">
        <w:rPr>
          <w:rFonts w:ascii="Arial" w:hAnsi="Arial" w:cs="Arial"/>
          <w:sz w:val="22"/>
          <w:szCs w:val="26"/>
        </w:rPr>
        <w:t>pharmacotherapeutics</w:t>
      </w:r>
      <w:proofErr w:type="spellEnd"/>
      <w:r w:rsidRPr="00393C3C">
        <w:rPr>
          <w:rFonts w:ascii="Arial" w:hAnsi="Arial" w:cs="Arial"/>
          <w:sz w:val="22"/>
          <w:szCs w:val="26"/>
        </w:rPr>
        <w:t>.</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 xml:space="preserve">Explain how ethnicity can affect </w:t>
      </w:r>
      <w:proofErr w:type="spellStart"/>
      <w:r w:rsidRPr="00393C3C">
        <w:rPr>
          <w:rFonts w:ascii="Arial" w:hAnsi="Arial" w:cs="Arial"/>
          <w:sz w:val="22"/>
          <w:szCs w:val="26"/>
        </w:rPr>
        <w:t>pharmacotherapeutic</w:t>
      </w:r>
      <w:proofErr w:type="spellEnd"/>
      <w:r w:rsidRPr="00393C3C">
        <w:rPr>
          <w:rFonts w:ascii="Arial" w:hAnsi="Arial" w:cs="Arial"/>
          <w:sz w:val="22"/>
          <w:szCs w:val="26"/>
        </w:rPr>
        <w:t xml:space="preserve"> outcomes.</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 xml:space="preserve">Identify examples of how cultural values and beliefs can influence </w:t>
      </w:r>
      <w:proofErr w:type="spellStart"/>
      <w:r w:rsidRPr="00393C3C">
        <w:rPr>
          <w:rFonts w:ascii="Arial" w:hAnsi="Arial" w:cs="Arial"/>
          <w:sz w:val="22"/>
          <w:szCs w:val="26"/>
        </w:rPr>
        <w:t>pharmacotherapeutic</w:t>
      </w:r>
      <w:proofErr w:type="spellEnd"/>
      <w:r w:rsidRPr="00393C3C">
        <w:rPr>
          <w:rFonts w:ascii="Arial" w:hAnsi="Arial" w:cs="Arial"/>
          <w:sz w:val="22"/>
          <w:szCs w:val="26"/>
        </w:rPr>
        <w:t xml:space="preserve"> outcomes.</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Explain how community and environmental factors can affect health care outcomes.</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Convey how genetic polymorphisms can influence pharmacotherapy.</w:t>
      </w:r>
    </w:p>
    <w:p w:rsidR="00393C3C" w:rsidRDefault="00393C3C" w:rsidP="00393C3C">
      <w:pPr>
        <w:pStyle w:val="ListParagraph"/>
        <w:widowControl w:val="0"/>
        <w:numPr>
          <w:ilvl w:val="0"/>
          <w:numId w:val="2"/>
        </w:numPr>
        <w:tabs>
          <w:tab w:val="left" w:pos="220"/>
          <w:tab w:val="left" w:pos="720"/>
        </w:tabs>
        <w:autoSpaceDE w:val="0"/>
        <w:autoSpaceDN w:val="0"/>
        <w:adjustRightInd w:val="0"/>
        <w:rPr>
          <w:rFonts w:ascii="Arial" w:hAnsi="Arial" w:cs="Arial"/>
          <w:sz w:val="22"/>
          <w:szCs w:val="26"/>
        </w:rPr>
      </w:pPr>
      <w:r w:rsidRPr="00393C3C">
        <w:rPr>
          <w:rFonts w:ascii="Arial" w:hAnsi="Arial" w:cs="Arial"/>
          <w:sz w:val="22"/>
          <w:szCs w:val="26"/>
        </w:rPr>
        <w:t>Relate the implications of gender to the actions of certain drugs.</w:t>
      </w:r>
    </w:p>
    <w:p w:rsidR="00393C3C" w:rsidRPr="00393C3C" w:rsidRDefault="00393C3C" w:rsidP="00393C3C">
      <w:pPr>
        <w:widowControl w:val="0"/>
        <w:tabs>
          <w:tab w:val="left" w:pos="220"/>
          <w:tab w:val="left" w:pos="720"/>
        </w:tabs>
        <w:autoSpaceDE w:val="0"/>
        <w:autoSpaceDN w:val="0"/>
        <w:adjustRightInd w:val="0"/>
        <w:ind w:left="360"/>
        <w:rPr>
          <w:rFonts w:ascii="Arial" w:hAnsi="Arial" w:cs="Arial"/>
          <w:sz w:val="22"/>
          <w:szCs w:val="26"/>
        </w:rPr>
      </w:pPr>
    </w:p>
    <w:p w:rsidR="00393C3C" w:rsidRDefault="00393C3C" w:rsidP="00393C3C">
      <w:pPr>
        <w:pStyle w:val="Heading3"/>
      </w:pPr>
      <w:r>
        <w:t>Key Concepts</w:t>
      </w:r>
    </w:p>
    <w:p w:rsidR="00393C3C" w:rsidRPr="00393C3C" w:rsidRDefault="00393C3C" w:rsidP="00393C3C"/>
    <w:p w:rsidR="00393C3C" w:rsidRPr="00393C3C" w:rsidRDefault="00393C3C" w:rsidP="00393C3C">
      <w:pPr>
        <w:widowControl w:val="0"/>
        <w:autoSpaceDE w:val="0"/>
        <w:autoSpaceDN w:val="0"/>
        <w:adjustRightInd w:val="0"/>
        <w:spacing w:after="260"/>
        <w:rPr>
          <w:rFonts w:ascii="Arial" w:hAnsi="Arial" w:cs="Arial"/>
          <w:sz w:val="22"/>
          <w:szCs w:val="26"/>
        </w:rPr>
      </w:pPr>
      <w:r w:rsidRPr="00393C3C">
        <w:rPr>
          <w:rStyle w:val="Heading3Char"/>
          <w:color w:val="ED7307" w:themeColor="accent6"/>
        </w:rPr>
        <w:t>8.1</w:t>
      </w:r>
      <w:r w:rsidRPr="00393C3C">
        <w:rPr>
          <w:rFonts w:ascii="Arial" w:hAnsi="Arial" w:cs="Arial"/>
          <w:color w:val="ED7307" w:themeColor="accent6"/>
          <w:sz w:val="26"/>
          <w:szCs w:val="26"/>
        </w:rPr>
        <w:sym w:font="Wingdings" w:char="F0E0"/>
      </w:r>
      <w:r>
        <w:rPr>
          <w:rFonts w:ascii="Arial" w:hAnsi="Arial" w:cs="Arial"/>
          <w:sz w:val="26"/>
          <w:szCs w:val="26"/>
        </w:rPr>
        <w:t xml:space="preserve"> </w:t>
      </w:r>
      <w:r w:rsidRPr="00393C3C">
        <w:rPr>
          <w:rFonts w:ascii="Arial" w:hAnsi="Arial" w:cs="Arial"/>
          <w:sz w:val="22"/>
          <w:szCs w:val="26"/>
        </w:rPr>
        <w:t>To deliver effective treatment, the nurse must consider the total patient in a holistic context.</w:t>
      </w:r>
    </w:p>
    <w:p w:rsidR="00393C3C" w:rsidRPr="00393C3C" w:rsidRDefault="00393C3C" w:rsidP="00393C3C">
      <w:pPr>
        <w:widowControl w:val="0"/>
        <w:autoSpaceDE w:val="0"/>
        <w:autoSpaceDN w:val="0"/>
        <w:adjustRightInd w:val="0"/>
        <w:spacing w:after="260"/>
        <w:rPr>
          <w:rFonts w:ascii="Arial" w:hAnsi="Arial" w:cs="Arial"/>
          <w:sz w:val="22"/>
          <w:szCs w:val="26"/>
        </w:rPr>
      </w:pPr>
      <w:r w:rsidRPr="00393C3C">
        <w:rPr>
          <w:rStyle w:val="Heading2Char"/>
          <w:color w:val="ED7307" w:themeColor="accent6"/>
        </w:rPr>
        <w:t>8.2</w:t>
      </w:r>
      <w:r w:rsidRPr="00393C3C">
        <w:rPr>
          <w:rStyle w:val="Heading2Char"/>
          <w:color w:val="ED7307" w:themeColor="accent6"/>
        </w:rPr>
        <w:sym w:font="Wingdings" w:char="F0E0"/>
      </w:r>
      <w:r w:rsidRPr="00393C3C">
        <w:rPr>
          <w:rFonts w:ascii="Arial" w:hAnsi="Arial" w:cs="Arial"/>
          <w:sz w:val="22"/>
          <w:szCs w:val="26"/>
        </w:rPr>
        <w:t xml:space="preserve"> The psychosocial domain must be considered when delivering holistic care. Positive attitudes and high expectations toward therapeutic outcomes in the patient may influence the success of pharmacotherapy.</w:t>
      </w:r>
    </w:p>
    <w:p w:rsidR="00393C3C" w:rsidRPr="00393C3C" w:rsidRDefault="00393C3C" w:rsidP="00393C3C">
      <w:pPr>
        <w:widowControl w:val="0"/>
        <w:autoSpaceDE w:val="0"/>
        <w:autoSpaceDN w:val="0"/>
        <w:adjustRightInd w:val="0"/>
        <w:spacing w:after="260"/>
        <w:rPr>
          <w:rFonts w:ascii="Arial" w:hAnsi="Arial" w:cs="Arial"/>
          <w:sz w:val="22"/>
          <w:szCs w:val="26"/>
        </w:rPr>
      </w:pPr>
      <w:r w:rsidRPr="00393C3C">
        <w:rPr>
          <w:rFonts w:asciiTheme="majorHAnsi" w:hAnsiTheme="majorHAnsi" w:cs="Arial"/>
          <w:b/>
          <w:bCs/>
          <w:color w:val="ED7307" w:themeColor="accent6"/>
          <w:sz w:val="26"/>
          <w:szCs w:val="26"/>
        </w:rPr>
        <w:t>8.3</w:t>
      </w:r>
      <w:r w:rsidRPr="00393C3C">
        <w:rPr>
          <w:rFonts w:asciiTheme="majorHAnsi" w:hAnsiTheme="majorHAnsi" w:cs="Arial"/>
          <w:color w:val="ED7307" w:themeColor="accent6"/>
          <w:sz w:val="26"/>
          <w:szCs w:val="26"/>
        </w:rPr>
        <w:sym w:font="Wingdings" w:char="F0E0"/>
      </w:r>
      <w:r>
        <w:rPr>
          <w:rFonts w:ascii="Arial" w:hAnsi="Arial" w:cs="Arial"/>
          <w:sz w:val="22"/>
          <w:szCs w:val="26"/>
        </w:rPr>
        <w:t xml:space="preserve"> </w:t>
      </w:r>
      <w:r w:rsidRPr="00393C3C">
        <w:rPr>
          <w:rFonts w:ascii="Arial" w:hAnsi="Arial" w:cs="Arial"/>
          <w:sz w:val="22"/>
          <w:szCs w:val="26"/>
        </w:rPr>
        <w:t>Culture and ethnicity are two interconnected perspectives that can affect nursing care and pharmacotherapy. Differences in diet, use of alternative therapies, perceptions of wellness, and genetic makeup can influence patient drug response.</w:t>
      </w:r>
    </w:p>
    <w:p w:rsidR="00393C3C" w:rsidRPr="00393C3C" w:rsidRDefault="00393C3C" w:rsidP="00393C3C">
      <w:pPr>
        <w:widowControl w:val="0"/>
        <w:autoSpaceDE w:val="0"/>
        <w:autoSpaceDN w:val="0"/>
        <w:adjustRightInd w:val="0"/>
        <w:spacing w:after="260"/>
        <w:rPr>
          <w:rFonts w:ascii="Arial" w:hAnsi="Arial" w:cs="Arial"/>
          <w:sz w:val="22"/>
          <w:szCs w:val="26"/>
        </w:rPr>
      </w:pPr>
      <w:r w:rsidRPr="00393C3C">
        <w:rPr>
          <w:rFonts w:asciiTheme="majorHAnsi" w:hAnsiTheme="majorHAnsi" w:cs="Arial"/>
          <w:b/>
          <w:bCs/>
          <w:color w:val="ED7307" w:themeColor="accent6"/>
          <w:sz w:val="26"/>
          <w:szCs w:val="26"/>
        </w:rPr>
        <w:t>8.4</w:t>
      </w:r>
      <w:r w:rsidRPr="00393C3C">
        <w:rPr>
          <w:rFonts w:asciiTheme="majorHAnsi" w:hAnsiTheme="majorHAnsi" w:cs="Arial"/>
          <w:b/>
          <w:bCs/>
          <w:color w:val="ED7307" w:themeColor="accent6"/>
          <w:sz w:val="26"/>
          <w:szCs w:val="26"/>
        </w:rPr>
        <w:sym w:font="Wingdings" w:char="F0E0"/>
      </w:r>
      <w:r w:rsidRPr="00393C3C">
        <w:rPr>
          <w:rFonts w:ascii="Arial" w:hAnsi="Arial" w:cs="Arial"/>
          <w:sz w:val="22"/>
          <w:szCs w:val="26"/>
        </w:rPr>
        <w:t xml:space="preserve"> Community and environmental factors affect health and the public’s access to health care and pharmacotherapy. Inadequate access to health care resources and an inability to read or understand instructions may compromise treatment outcomes.</w:t>
      </w:r>
    </w:p>
    <w:p w:rsidR="00393C3C" w:rsidRPr="00393C3C" w:rsidRDefault="00393C3C" w:rsidP="00393C3C">
      <w:pPr>
        <w:widowControl w:val="0"/>
        <w:autoSpaceDE w:val="0"/>
        <w:autoSpaceDN w:val="0"/>
        <w:adjustRightInd w:val="0"/>
        <w:spacing w:after="260"/>
        <w:rPr>
          <w:rFonts w:ascii="Arial" w:hAnsi="Arial" w:cs="Arial"/>
          <w:sz w:val="22"/>
          <w:szCs w:val="26"/>
        </w:rPr>
      </w:pPr>
      <w:r w:rsidRPr="00393C3C">
        <w:rPr>
          <w:rFonts w:asciiTheme="majorHAnsi" w:hAnsiTheme="majorHAnsi" w:cs="Arial"/>
          <w:b/>
          <w:bCs/>
          <w:color w:val="ED7307" w:themeColor="accent6"/>
          <w:sz w:val="26"/>
          <w:szCs w:val="26"/>
        </w:rPr>
        <w:t>8.5</w:t>
      </w:r>
      <w:r w:rsidRPr="00393C3C">
        <w:rPr>
          <w:rFonts w:asciiTheme="majorHAnsi" w:hAnsiTheme="majorHAnsi" w:cs="Arial"/>
          <w:b/>
          <w:bCs/>
          <w:color w:val="ED7307" w:themeColor="accent6"/>
          <w:sz w:val="26"/>
          <w:szCs w:val="26"/>
        </w:rPr>
        <w:sym w:font="Wingdings" w:char="F0E0"/>
      </w:r>
      <w:r w:rsidRPr="00393C3C">
        <w:rPr>
          <w:rFonts w:ascii="Arial" w:hAnsi="Arial" w:cs="Arial"/>
          <w:sz w:val="22"/>
          <w:szCs w:val="26"/>
        </w:rPr>
        <w:t xml:space="preserve"> Genetic differences inmetabolic enzymes that occur among different ethnic groups must be considered for effective pharmacotherapy. Small differences in the structure of enzymes can result in profound changes in drug response.</w:t>
      </w:r>
    </w:p>
    <w:p w:rsidR="00393C3C" w:rsidRDefault="00393C3C" w:rsidP="00393C3C">
      <w:pPr>
        <w:widowControl w:val="0"/>
        <w:autoSpaceDE w:val="0"/>
        <w:autoSpaceDN w:val="0"/>
        <w:adjustRightInd w:val="0"/>
        <w:spacing w:after="260"/>
        <w:rPr>
          <w:rFonts w:ascii="Arial" w:hAnsi="Arial" w:cs="Arial"/>
          <w:sz w:val="22"/>
          <w:szCs w:val="26"/>
        </w:rPr>
      </w:pPr>
      <w:r w:rsidRPr="00393C3C">
        <w:rPr>
          <w:rFonts w:asciiTheme="majorHAnsi" w:hAnsiTheme="majorHAnsi" w:cs="Arial"/>
          <w:b/>
          <w:bCs/>
          <w:color w:val="ED7307" w:themeColor="accent6"/>
          <w:sz w:val="26"/>
          <w:szCs w:val="26"/>
        </w:rPr>
        <w:t>8.6</w:t>
      </w:r>
      <w:r w:rsidRPr="00393C3C">
        <w:rPr>
          <w:rFonts w:asciiTheme="majorHAnsi" w:hAnsiTheme="majorHAnsi" w:cs="Arial"/>
          <w:color w:val="ED7307" w:themeColor="accent6"/>
          <w:sz w:val="26"/>
          <w:szCs w:val="26"/>
        </w:rPr>
        <w:sym w:font="Wingdings" w:char="F0E0"/>
      </w:r>
      <w:r>
        <w:rPr>
          <w:rFonts w:ascii="Arial" w:hAnsi="Arial" w:cs="Arial"/>
          <w:sz w:val="22"/>
          <w:szCs w:val="26"/>
        </w:rPr>
        <w:t xml:space="preserve"> </w:t>
      </w:r>
      <w:r w:rsidRPr="00393C3C">
        <w:rPr>
          <w:rFonts w:ascii="Arial" w:hAnsi="Arial" w:cs="Arial"/>
          <w:sz w:val="22"/>
          <w:szCs w:val="26"/>
        </w:rPr>
        <w:t>Gender can influence many aspects of health maintenance, promotion, and treatment, as well as medication response.</w:t>
      </w:r>
    </w:p>
    <w:p w:rsidR="00393C3C" w:rsidRDefault="00393C3C" w:rsidP="00393C3C">
      <w:pPr>
        <w:pStyle w:val="Heading3"/>
      </w:pPr>
      <w:r>
        <w:t>Key Terms</w:t>
      </w:r>
    </w:p>
    <w:p w:rsidR="00393C3C" w:rsidRPr="00393C3C" w:rsidRDefault="00393C3C" w:rsidP="00393C3C">
      <w:pPr>
        <w:rPr>
          <w:color w:val="B15505" w:themeColor="accent6" w:themeShade="BF"/>
        </w:rPr>
      </w:pPr>
    </w:p>
    <w:p w:rsidR="00393C3C" w:rsidRDefault="00393C3C" w:rsidP="00393C3C">
      <w:pPr>
        <w:pStyle w:val="ListParagraph"/>
        <w:numPr>
          <w:ilvl w:val="0"/>
          <w:numId w:val="6"/>
        </w:numPr>
        <w:rPr>
          <w:rFonts w:ascii="Arial" w:hAnsi="Arial"/>
          <w:sz w:val="22"/>
        </w:rPr>
      </w:pPr>
      <w:r w:rsidRPr="00393C3C">
        <w:rPr>
          <w:rFonts w:ascii="Arial" w:hAnsi="Arial"/>
          <w:b/>
          <w:color w:val="B15505" w:themeColor="accent6" w:themeShade="BF"/>
          <w:sz w:val="22"/>
        </w:rPr>
        <w:t>Cultural competence-</w:t>
      </w:r>
      <w:r w:rsidRPr="00393C3C">
        <w:rPr>
          <w:rFonts w:ascii="Arial" w:hAnsi="Arial"/>
          <w:sz w:val="22"/>
        </w:rPr>
        <w:t xml:space="preserve"> The ability of health care providers to provide care for people with diverse values, beliefs, and behaviors, including the ability to adapt delivery of care to meet the needs of these patients. </w:t>
      </w:r>
    </w:p>
    <w:p w:rsidR="00393C3C" w:rsidRDefault="00393C3C" w:rsidP="00393C3C">
      <w:pPr>
        <w:pStyle w:val="ListParagraph"/>
        <w:numPr>
          <w:ilvl w:val="0"/>
          <w:numId w:val="6"/>
        </w:numPr>
        <w:rPr>
          <w:rFonts w:ascii="Arial" w:hAnsi="Arial"/>
          <w:sz w:val="22"/>
        </w:rPr>
      </w:pPr>
      <w:r>
        <w:rPr>
          <w:rFonts w:ascii="Arial" w:hAnsi="Arial"/>
          <w:b/>
          <w:color w:val="B15505" w:themeColor="accent6" w:themeShade="BF"/>
          <w:sz w:val="22"/>
        </w:rPr>
        <w:t>Culture-</w:t>
      </w:r>
      <w:r>
        <w:rPr>
          <w:rFonts w:ascii="Arial" w:hAnsi="Arial"/>
          <w:sz w:val="22"/>
        </w:rPr>
        <w:t xml:space="preserve"> Set of beliefs, values, religious rituals, and customs shared by a group of people. </w:t>
      </w:r>
    </w:p>
    <w:p w:rsidR="00393C3C" w:rsidRDefault="00393C3C" w:rsidP="00393C3C">
      <w:pPr>
        <w:pStyle w:val="ListParagraph"/>
        <w:numPr>
          <w:ilvl w:val="0"/>
          <w:numId w:val="6"/>
        </w:numPr>
        <w:rPr>
          <w:rFonts w:ascii="Arial" w:hAnsi="Arial"/>
          <w:sz w:val="22"/>
        </w:rPr>
      </w:pPr>
      <w:r>
        <w:rPr>
          <w:rFonts w:ascii="Arial" w:hAnsi="Arial"/>
          <w:b/>
          <w:color w:val="B15505" w:themeColor="accent6" w:themeShade="BF"/>
          <w:sz w:val="22"/>
        </w:rPr>
        <w:t>Ethnicity-</w:t>
      </w:r>
      <w:r>
        <w:rPr>
          <w:rFonts w:ascii="Arial" w:hAnsi="Arial"/>
          <w:sz w:val="22"/>
        </w:rPr>
        <w:t xml:space="preserve"> Referring to people having a common history and similar genetic heritage. </w:t>
      </w:r>
    </w:p>
    <w:p w:rsidR="00393C3C" w:rsidRDefault="00393C3C" w:rsidP="00393C3C">
      <w:pPr>
        <w:pStyle w:val="ListParagraph"/>
        <w:numPr>
          <w:ilvl w:val="0"/>
          <w:numId w:val="6"/>
        </w:numPr>
        <w:rPr>
          <w:rFonts w:ascii="Arial" w:hAnsi="Arial"/>
          <w:sz w:val="22"/>
        </w:rPr>
      </w:pPr>
      <w:r>
        <w:rPr>
          <w:rFonts w:ascii="Arial" w:hAnsi="Arial"/>
          <w:b/>
          <w:color w:val="B15505" w:themeColor="accent6" w:themeShade="BF"/>
          <w:sz w:val="22"/>
        </w:rPr>
        <w:t>Genetic Polymorphism-</w:t>
      </w:r>
      <w:r>
        <w:rPr>
          <w:rFonts w:ascii="Arial" w:hAnsi="Arial"/>
          <w:sz w:val="22"/>
        </w:rPr>
        <w:t xml:space="preserve"> Changes in enzyme structure and function due to mutation of the encoding gene. </w:t>
      </w:r>
    </w:p>
    <w:p w:rsidR="00393C3C" w:rsidRDefault="00393C3C" w:rsidP="00393C3C">
      <w:pPr>
        <w:pStyle w:val="ListParagraph"/>
        <w:numPr>
          <w:ilvl w:val="0"/>
          <w:numId w:val="6"/>
        </w:numPr>
        <w:rPr>
          <w:rFonts w:ascii="Arial" w:hAnsi="Arial"/>
          <w:sz w:val="22"/>
        </w:rPr>
      </w:pPr>
      <w:proofErr w:type="spellStart"/>
      <w:r>
        <w:rPr>
          <w:rFonts w:ascii="Arial" w:hAnsi="Arial"/>
          <w:b/>
          <w:color w:val="B15505" w:themeColor="accent6" w:themeShade="BF"/>
          <w:sz w:val="22"/>
        </w:rPr>
        <w:t>Hollistic</w:t>
      </w:r>
      <w:proofErr w:type="spellEnd"/>
      <w:r>
        <w:rPr>
          <w:rFonts w:ascii="Arial" w:hAnsi="Arial"/>
          <w:b/>
          <w:color w:val="B15505" w:themeColor="accent6" w:themeShade="BF"/>
          <w:sz w:val="22"/>
        </w:rPr>
        <w:t>-</w:t>
      </w:r>
      <w:r>
        <w:rPr>
          <w:rFonts w:ascii="Arial" w:hAnsi="Arial"/>
          <w:sz w:val="22"/>
        </w:rPr>
        <w:t xml:space="preserve"> Viewing a person as an integrated biologic, physiologic, psychosocial, cultural, communicating whole, existing and functioning within the communal environment. </w:t>
      </w:r>
    </w:p>
    <w:p w:rsidR="00393C3C" w:rsidRDefault="00393C3C" w:rsidP="00393C3C">
      <w:pPr>
        <w:pStyle w:val="ListParagraph"/>
        <w:numPr>
          <w:ilvl w:val="0"/>
          <w:numId w:val="6"/>
        </w:numPr>
        <w:rPr>
          <w:rFonts w:ascii="Arial" w:hAnsi="Arial"/>
          <w:sz w:val="22"/>
        </w:rPr>
      </w:pPr>
      <w:r>
        <w:rPr>
          <w:rFonts w:ascii="Arial" w:hAnsi="Arial"/>
          <w:b/>
          <w:color w:val="B15505" w:themeColor="accent6" w:themeShade="BF"/>
          <w:sz w:val="22"/>
        </w:rPr>
        <w:t>Human Integration Pyramid-</w:t>
      </w:r>
      <w:r>
        <w:rPr>
          <w:rFonts w:ascii="Arial" w:hAnsi="Arial"/>
          <w:sz w:val="22"/>
        </w:rPr>
        <w:t xml:space="preserve"> A conceptual framework for dealing with patients in a holistic manner. </w:t>
      </w:r>
    </w:p>
    <w:p w:rsidR="00393C3C" w:rsidRDefault="00393C3C" w:rsidP="00393C3C">
      <w:pPr>
        <w:pStyle w:val="ListParagraph"/>
        <w:numPr>
          <w:ilvl w:val="0"/>
          <w:numId w:val="6"/>
        </w:numPr>
        <w:rPr>
          <w:rFonts w:ascii="Arial" w:hAnsi="Arial"/>
          <w:sz w:val="22"/>
        </w:rPr>
      </w:pPr>
      <w:proofErr w:type="spellStart"/>
      <w:r>
        <w:rPr>
          <w:rFonts w:ascii="Arial" w:hAnsi="Arial"/>
          <w:b/>
          <w:color w:val="B15505" w:themeColor="accent6" w:themeShade="BF"/>
          <w:sz w:val="22"/>
        </w:rPr>
        <w:t>Pharmacogenetics</w:t>
      </w:r>
      <w:proofErr w:type="spellEnd"/>
      <w:r>
        <w:rPr>
          <w:rFonts w:ascii="Arial" w:hAnsi="Arial"/>
          <w:b/>
          <w:color w:val="B15505" w:themeColor="accent6" w:themeShade="BF"/>
          <w:sz w:val="22"/>
        </w:rPr>
        <w:t>-</w:t>
      </w:r>
      <w:r>
        <w:rPr>
          <w:rFonts w:ascii="Arial" w:hAnsi="Arial"/>
          <w:sz w:val="22"/>
        </w:rPr>
        <w:t xml:space="preserve"> Area of pharmacology that examines the role of genetics in drug response. </w:t>
      </w:r>
    </w:p>
    <w:p w:rsidR="00DD6A32" w:rsidRDefault="00393C3C" w:rsidP="00DD6A32">
      <w:pPr>
        <w:pStyle w:val="ListParagraph"/>
        <w:numPr>
          <w:ilvl w:val="0"/>
          <w:numId w:val="6"/>
        </w:numPr>
        <w:rPr>
          <w:rFonts w:ascii="Arial" w:hAnsi="Arial"/>
          <w:sz w:val="22"/>
        </w:rPr>
      </w:pPr>
      <w:r>
        <w:rPr>
          <w:rFonts w:ascii="Arial" w:hAnsi="Arial"/>
          <w:b/>
          <w:color w:val="B15505" w:themeColor="accent6" w:themeShade="BF"/>
          <w:sz w:val="22"/>
        </w:rPr>
        <w:t>Psychosocial-</w:t>
      </w:r>
      <w:r>
        <w:rPr>
          <w:rFonts w:ascii="Arial" w:hAnsi="Arial"/>
          <w:sz w:val="22"/>
        </w:rPr>
        <w:t xml:space="preserve"> Describes a person’s psychological development in the </w:t>
      </w:r>
      <w:r w:rsidR="00DD6A32">
        <w:rPr>
          <w:rFonts w:ascii="Arial" w:hAnsi="Arial"/>
          <w:sz w:val="22"/>
        </w:rPr>
        <w:t>context</w:t>
      </w:r>
      <w:r>
        <w:rPr>
          <w:rFonts w:ascii="Arial" w:hAnsi="Arial"/>
          <w:sz w:val="22"/>
        </w:rPr>
        <w:t xml:space="preserve"> of one’s social environment. </w:t>
      </w:r>
    </w:p>
    <w:p w:rsidR="00393C3C" w:rsidRPr="00DD6A32" w:rsidRDefault="00DD6A32" w:rsidP="00DD6A32">
      <w:pPr>
        <w:pStyle w:val="ListParagraph"/>
        <w:numPr>
          <w:ilvl w:val="0"/>
          <w:numId w:val="6"/>
        </w:numPr>
        <w:rPr>
          <w:rFonts w:ascii="Arial" w:hAnsi="Arial"/>
          <w:sz w:val="22"/>
        </w:rPr>
      </w:pPr>
      <w:r>
        <w:rPr>
          <w:rFonts w:ascii="Arial" w:hAnsi="Arial"/>
          <w:b/>
          <w:color w:val="B15505" w:themeColor="accent6" w:themeShade="BF"/>
          <w:sz w:val="22"/>
        </w:rPr>
        <w:t>Spirituality-</w:t>
      </w:r>
      <w:r>
        <w:rPr>
          <w:rFonts w:ascii="Arial" w:hAnsi="Arial"/>
          <w:sz w:val="22"/>
        </w:rPr>
        <w:t xml:space="preserve"> The capacity to love, to convey compassion and empathy, to give and forgive, to enjoy life, and to find peace of mind and fulfillment in living. </w:t>
      </w:r>
    </w:p>
    <w:p w:rsidR="00393C3C" w:rsidRPr="00393C3C" w:rsidRDefault="00393C3C" w:rsidP="00393C3C">
      <w:pPr>
        <w:rPr>
          <w:sz w:val="22"/>
        </w:rPr>
      </w:pPr>
    </w:p>
    <w:sectPr w:rsidR="00393C3C" w:rsidRPr="00393C3C" w:rsidSect="00393C3C">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E616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9B74616"/>
    <w:multiLevelType w:val="hybridMultilevel"/>
    <w:tmpl w:val="ED4039E0"/>
    <w:lvl w:ilvl="0" w:tplc="6BCA9FB2">
      <w:start w:val="7"/>
      <w:numFmt w:val="bullet"/>
      <w:lvlText w:val=""/>
      <w:lvlJc w:val="left"/>
      <w:pPr>
        <w:ind w:left="720" w:hanging="360"/>
      </w:pPr>
      <w:rPr>
        <w:rFonts w:ascii="Symbol" w:hAnsi="Symbol" w:hint="default"/>
        <w:b/>
        <w:color w:val="B15505" w:themeColor="accent6" w:themeShade="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F0624B"/>
    <w:multiLevelType w:val="hybridMultilevel"/>
    <w:tmpl w:val="2A521992"/>
    <w:lvl w:ilvl="0" w:tplc="8F3C7938">
      <w:start w:val="7"/>
      <w:numFmt w:val="bullet"/>
      <w:lvlText w:val=""/>
      <w:lvlJc w:val="left"/>
      <w:pPr>
        <w:ind w:left="720" w:hanging="360"/>
      </w:pPr>
      <w:rPr>
        <w:rFonts w:ascii="Symbol" w:eastAsiaTheme="minorHAnsi" w:hAnsi="Symbol" w:hint="default"/>
        <w:b/>
        <w:color w:val="FFAF03"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4522C2"/>
    <w:multiLevelType w:val="hybridMultilevel"/>
    <w:tmpl w:val="355EA6E0"/>
    <w:lvl w:ilvl="0" w:tplc="8F3C7938">
      <w:start w:val="7"/>
      <w:numFmt w:val="bullet"/>
      <w:lvlText w:val=""/>
      <w:lvlJc w:val="left"/>
      <w:pPr>
        <w:ind w:left="720" w:hanging="360"/>
      </w:pPr>
      <w:rPr>
        <w:rFonts w:ascii="Symbol" w:eastAsiaTheme="minorHAnsi" w:hAnsi="Symbol" w:hint="default"/>
        <w:b/>
        <w:color w:val="FFAF03"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46484F"/>
    <w:multiLevelType w:val="hybridMultilevel"/>
    <w:tmpl w:val="7D5259B6"/>
    <w:lvl w:ilvl="0" w:tplc="8F3C7938">
      <w:start w:val="7"/>
      <w:numFmt w:val="bullet"/>
      <w:lvlText w:val=""/>
      <w:lvlJc w:val="left"/>
      <w:pPr>
        <w:ind w:left="720" w:hanging="360"/>
      </w:pPr>
      <w:rPr>
        <w:rFonts w:ascii="Symbol" w:eastAsiaTheme="minorHAnsi" w:hAnsi="Symbol" w:hint="default"/>
        <w:b/>
        <w:color w:val="FFAF03"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3C3C"/>
    <w:rsid w:val="00393C3C"/>
    <w:rsid w:val="00DD6A3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45BD0"/>
  </w:style>
  <w:style w:type="paragraph" w:styleId="Heading1">
    <w:name w:val="heading 1"/>
    <w:basedOn w:val="Normal"/>
    <w:next w:val="Normal"/>
    <w:link w:val="Heading1Char"/>
    <w:uiPriority w:val="9"/>
    <w:qFormat/>
    <w:rsid w:val="00393C3C"/>
    <w:pPr>
      <w:keepNext/>
      <w:keepLines/>
      <w:spacing w:before="480"/>
      <w:outlineLvl w:val="0"/>
    </w:pPr>
    <w:rPr>
      <w:rFonts w:asciiTheme="majorHAnsi" w:eastAsiaTheme="majorEastAsia" w:hAnsiTheme="majorHAnsi" w:cstheme="majorBidi"/>
      <w:b/>
      <w:bCs/>
      <w:color w:val="B77C00" w:themeColor="accent1" w:themeShade="B5"/>
      <w:sz w:val="32"/>
      <w:szCs w:val="32"/>
    </w:rPr>
  </w:style>
  <w:style w:type="paragraph" w:styleId="Heading2">
    <w:name w:val="heading 2"/>
    <w:basedOn w:val="Normal"/>
    <w:next w:val="Normal"/>
    <w:link w:val="Heading2Char"/>
    <w:rsid w:val="00393C3C"/>
    <w:pPr>
      <w:keepNext/>
      <w:keepLines/>
      <w:spacing w:before="200"/>
      <w:outlineLvl w:val="1"/>
    </w:pPr>
    <w:rPr>
      <w:rFonts w:asciiTheme="majorHAnsi" w:eastAsiaTheme="majorEastAsia" w:hAnsiTheme="majorHAnsi" w:cstheme="majorBidi"/>
      <w:b/>
      <w:bCs/>
      <w:color w:val="FFAF03" w:themeColor="accent1"/>
      <w:sz w:val="26"/>
      <w:szCs w:val="26"/>
    </w:rPr>
  </w:style>
  <w:style w:type="paragraph" w:styleId="Heading3">
    <w:name w:val="heading 3"/>
    <w:basedOn w:val="Normal"/>
    <w:next w:val="Normal"/>
    <w:link w:val="Heading3Char"/>
    <w:uiPriority w:val="9"/>
    <w:unhideWhenUsed/>
    <w:qFormat/>
    <w:rsid w:val="00393C3C"/>
    <w:pPr>
      <w:keepNext/>
      <w:keepLines/>
      <w:spacing w:before="200"/>
      <w:outlineLvl w:val="2"/>
    </w:pPr>
    <w:rPr>
      <w:rFonts w:asciiTheme="majorHAnsi" w:eastAsiaTheme="majorEastAsia" w:hAnsiTheme="majorHAnsi" w:cstheme="majorBidi"/>
      <w:b/>
      <w:bCs/>
      <w:color w:val="FFAF03"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393C3C"/>
    <w:rPr>
      <w:rFonts w:asciiTheme="majorHAnsi" w:eastAsiaTheme="majorEastAsia" w:hAnsiTheme="majorHAnsi" w:cstheme="majorBidi"/>
      <w:b/>
      <w:bCs/>
      <w:color w:val="FFAF03" w:themeColor="accent1"/>
    </w:rPr>
  </w:style>
  <w:style w:type="paragraph" w:styleId="ListParagraph">
    <w:name w:val="List Paragraph"/>
    <w:basedOn w:val="Normal"/>
    <w:uiPriority w:val="34"/>
    <w:qFormat/>
    <w:rsid w:val="00393C3C"/>
    <w:pPr>
      <w:ind w:left="720"/>
      <w:contextualSpacing/>
    </w:pPr>
  </w:style>
  <w:style w:type="character" w:customStyle="1" w:styleId="Heading1Char">
    <w:name w:val="Heading 1 Char"/>
    <w:basedOn w:val="DefaultParagraphFont"/>
    <w:link w:val="Heading1"/>
    <w:uiPriority w:val="9"/>
    <w:rsid w:val="00393C3C"/>
    <w:rPr>
      <w:rFonts w:asciiTheme="majorHAnsi" w:eastAsiaTheme="majorEastAsia" w:hAnsiTheme="majorHAnsi" w:cstheme="majorBidi"/>
      <w:b/>
      <w:bCs/>
      <w:color w:val="B77C00" w:themeColor="accent1" w:themeShade="B5"/>
      <w:sz w:val="32"/>
      <w:szCs w:val="32"/>
    </w:rPr>
  </w:style>
  <w:style w:type="character" w:customStyle="1" w:styleId="Heading2Char">
    <w:name w:val="Heading 2 Char"/>
    <w:basedOn w:val="DefaultParagraphFont"/>
    <w:link w:val="Heading2"/>
    <w:rsid w:val="00393C3C"/>
    <w:rPr>
      <w:rFonts w:asciiTheme="majorHAnsi" w:eastAsiaTheme="majorEastAsia" w:hAnsiTheme="majorHAnsi" w:cstheme="majorBidi"/>
      <w:b/>
      <w:bCs/>
      <w:color w:val="FFAF03"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wilight">
  <a:themeElements>
    <a:clrScheme name="Twilight">
      <a:dk1>
        <a:sysClr val="windowText" lastClr="000000"/>
      </a:dk1>
      <a:lt1>
        <a:sysClr val="window" lastClr="FFFFFF"/>
      </a:lt1>
      <a:dk2>
        <a:srgbClr val="54638C"/>
      </a:dk2>
      <a:lt2>
        <a:srgbClr val="8D9AB3"/>
      </a:lt2>
      <a:accent1>
        <a:srgbClr val="FFAF03"/>
      </a:accent1>
      <a:accent2>
        <a:srgbClr val="FDE689"/>
      </a:accent2>
      <a:accent3>
        <a:srgbClr val="9E82E7"/>
      </a:accent3>
      <a:accent4>
        <a:srgbClr val="9735BB"/>
      </a:accent4>
      <a:accent5>
        <a:srgbClr val="BF2B2B"/>
      </a:accent5>
      <a:accent6>
        <a:srgbClr val="ED7307"/>
      </a:accent6>
      <a:hlink>
        <a:srgbClr val="FFAF03"/>
      </a:hlink>
      <a:folHlink>
        <a:srgbClr val="FDE689"/>
      </a:folHlink>
    </a:clrScheme>
    <a:fontScheme name="Twilight">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Twilight">
      <a:fillStyleLst>
        <a:solidFill>
          <a:schemeClr val="phClr"/>
        </a:solidFill>
        <a:gradFill rotWithShape="1">
          <a:gsLst>
            <a:gs pos="0">
              <a:schemeClr val="phClr">
                <a:tint val="100000"/>
                <a:shade val="60000"/>
                <a:satMod val="130000"/>
              </a:schemeClr>
            </a:gs>
            <a:gs pos="100000">
              <a:schemeClr val="phClr">
                <a:tint val="100000"/>
                <a:shade val="94000"/>
                <a:satMod val="135000"/>
              </a:schemeClr>
            </a:gs>
          </a:gsLst>
          <a:path path="circle">
            <a:fillToRect l="100000" t="100000" r="100000" b="100000"/>
          </a:path>
        </a:gradFill>
        <a:gradFill rotWithShape="1">
          <a:gsLst>
            <a:gs pos="0">
              <a:schemeClr val="phClr">
                <a:shade val="60000"/>
                <a:satMod val="130000"/>
              </a:schemeClr>
            </a:gs>
            <a:gs pos="100000">
              <a:schemeClr val="phClr">
                <a:shade val="94000"/>
                <a:satMod val="135000"/>
              </a:schemeClr>
            </a:gs>
          </a:gsLst>
          <a:lin ang="16200000" scaled="0"/>
        </a:gradFill>
      </a:fillStyleLst>
      <a:lnStyleLst>
        <a:ln w="19050" cap="flat" cmpd="sng" algn="ctr">
          <a:solidFill>
            <a:schemeClr val="phClr">
              <a:shade val="95000"/>
              <a:satMod val="105000"/>
            </a:schemeClr>
          </a:solidFill>
          <a:prstDash val="solid"/>
        </a:ln>
        <a:ln w="19050" cap="flat" cmpd="sng" algn="ctr">
          <a:solidFill>
            <a:schemeClr val="phClr"/>
          </a:solidFill>
          <a:prstDash val="solid"/>
        </a:ln>
        <a:ln w="47625" cap="flat" cmpd="sng" algn="ctr">
          <a:solidFill>
            <a:schemeClr val="phClr"/>
          </a:solidFill>
          <a:prstDash val="solid"/>
        </a:ln>
      </a:lnStyleLst>
      <a:effectStyleLst>
        <a:effectStyle>
          <a:effectLst/>
        </a:effectStyle>
        <a:effectStyle>
          <a:effectLst>
            <a:innerShdw blurRad="38100" dist="12700" dir="5400000">
              <a:srgbClr val="FFFFFF">
                <a:alpha val="75000"/>
              </a:srgbClr>
            </a:innerShdw>
            <a:outerShdw blurRad="88900" dist="50800" dir="5400000" sx="102000" sy="102000" algn="tr" rotWithShape="0">
              <a:srgbClr val="808080">
                <a:alpha val="50000"/>
              </a:srgbClr>
            </a:outerShdw>
          </a:effectLst>
        </a:effectStyle>
        <a:effectStyle>
          <a:effectLst>
            <a:outerShdw blurRad="317500" dist="762000" dir="5400000" sy="45000" rotWithShape="0">
              <a:srgbClr val="000000">
                <a:alpha val="35000"/>
              </a:srgbClr>
            </a:outerShdw>
          </a:effectLst>
          <a:scene3d>
            <a:camera prst="orthographicFront">
              <a:rot lat="0" lon="0" rev="0"/>
            </a:camera>
            <a:lightRig rig="balanced" dir="tl"/>
          </a:scene3d>
          <a:sp3d extrusionH="12700" prstMaterial="softEdge">
            <a:bevelT w="38100" h="12700"/>
          </a:sp3d>
        </a:effectStyle>
      </a:effectStyleLst>
      <a:bgFillStyleLst>
        <a:solidFill>
          <a:schemeClr val="phClr"/>
        </a:solidFill>
        <a:blipFill rotWithShape="1">
          <a:blip xmlns:r="http://schemas.openxmlformats.org/officeDocument/2006/relationships" r:embed="rId1">
            <a:duotone>
              <a:schemeClr val="phClr">
                <a:shade val="10000"/>
                <a:satMod val="200000"/>
              </a:schemeClr>
              <a:schemeClr val="phClr">
                <a:tint val="30000"/>
                <a:satMod val="300000"/>
              </a:schemeClr>
            </a:duotone>
          </a:blip>
          <a:stretch/>
        </a:blipFill>
        <a:blipFill rotWithShape="1">
          <a:blip xmlns:r="http://schemas.openxmlformats.org/officeDocument/2006/relationships" r:embed="rId2">
            <a:duotone>
              <a:schemeClr val="phClr">
                <a:shade val="20000"/>
                <a:satMod val="200000"/>
              </a:schemeClr>
              <a:schemeClr val="phClr">
                <a:tint val="50000"/>
                <a:satMod val="15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416</Words>
  <Characters>2373</Characters>
  <Application>Microsoft Macintosh Word</Application>
  <DocSecurity>0</DocSecurity>
  <Lines>19</Lines>
  <Paragraphs>4</Paragraphs>
  <ScaleCrop>false</ScaleCrop>
  <LinksUpToDate>false</LinksUpToDate>
  <CharactersWithSpaces>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Gogerty</dc:creator>
  <cp:keywords/>
  <cp:lastModifiedBy>Rachel Gogerty</cp:lastModifiedBy>
  <cp:revision>1</cp:revision>
  <dcterms:created xsi:type="dcterms:W3CDTF">2012-09-20T18:18:00Z</dcterms:created>
  <dcterms:modified xsi:type="dcterms:W3CDTF">2012-09-20T18:41:00Z</dcterms:modified>
</cp:coreProperties>
</file>